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4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948" w:type="dxa"/>
            <w:vAlign w:val="top"/>
            <w:textDirection w:val="lrTb"/>
            <w:noWrap w:val="false"/>
          </w:tcPr>
          <w:p>
            <w:pPr>
              <w:pStyle w:val="88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  <w:highlight w:val="none"/>
              </w:rPr>
              <w:t xml:space="preserve">РИЛОЖЕНИЕ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приказу департамента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имущества и земельных отношений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от_________№_______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ПОРЯДОК</w:t>
      </w:r>
      <w:r>
        <w:rPr>
          <w:b/>
          <w:sz w:val="28"/>
          <w:szCs w:val="28"/>
          <w:highlight w:val="yellow"/>
        </w:rPr>
      </w:r>
      <w:r>
        <w:rPr>
          <w:b/>
          <w:sz w:val="28"/>
          <w:szCs w:val="28"/>
          <w:highlight w:val="yellow"/>
        </w:rPr>
      </w:r>
    </w:p>
    <w:p>
      <w:pPr>
        <w:jc w:val="center"/>
        <w:tabs>
          <w:tab w:val="left" w:pos="1824" w:leader="none"/>
        </w:tabs>
        <w:rPr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и применения значений допустимых (возможных) отклонений от значений показателей качества и (или) объема государственной услуги (работы)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установленных в государственном задании на оказание государственных услуг (выполнение работ) государственным учреждениям Новосибирской области, подведомственным департаменту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 и земельных отношений Новосибирской област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</w:t>
      </w:r>
      <w:r>
        <w:rPr>
          <w:szCs w:val="16"/>
        </w:rPr>
      </w:r>
      <w:r>
        <w:rPr>
          <w:szCs w:val="16"/>
        </w:rPr>
      </w:r>
    </w:p>
    <w:p>
      <w:pPr>
        <w:pStyle w:val="888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20"/>
        <w:jc w:val="both"/>
        <w:tabs>
          <w:tab w:val="left" w:pos="1824" w:leader="none"/>
        </w:tabs>
        <w:rPr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1. Порядок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определения и применения значений допустимых (возможных) отклонений от значений показателей качества и (или) объема государственной услуги (работы)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установленных в государственном задании на оказание государственных услуг (выполнение работ) государственным учреждениям Новосибирской области, подведомственным департаменту</w:t>
      </w:r>
      <w:r>
        <w:rPr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имущества и земельных отношений Новосибирской област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</w:t>
      </w:r>
      <w:r>
        <w:rPr>
          <w:b w:val="0"/>
          <w:bCs w:val="0"/>
          <w:sz w:val="28"/>
          <w:szCs w:val="28"/>
        </w:rPr>
        <w:t xml:space="preserve"> (далее - Порядок)</w:t>
      </w:r>
      <w:r>
        <w:rPr>
          <w:b w:val="0"/>
          <w:bCs w:val="0"/>
          <w:sz w:val="28"/>
          <w:szCs w:val="28"/>
        </w:rPr>
        <w:t xml:space="preserve">, устанавливает правила определения и применения значений допустимых (воз</w:t>
      </w:r>
      <w:r>
        <w:rPr>
          <w:b w:val="0"/>
          <w:bCs w:val="0"/>
          <w:sz w:val="28"/>
          <w:szCs w:val="28"/>
        </w:rPr>
        <w:t xml:space="preserve">можных) отклонений от </w:t>
      </w:r>
      <w:r>
        <w:rPr>
          <w:b w:val="0"/>
          <w:bCs w:val="0"/>
          <w:sz w:val="28"/>
          <w:szCs w:val="28"/>
        </w:rPr>
        <w:t xml:space="preserve">значений показателей качества и (или) объема государственной услуги (работы), установленных в государственном задании на оказание государственных услуг (выполнение работ) (далее - государственное задание) государственным учреждениям Новосибирской области,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подведомственным департаменту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имущества и земельных отношений Новосибирской области</w:t>
      </w:r>
      <w:r>
        <w:rPr>
          <w:sz w:val="28"/>
          <w:szCs w:val="28"/>
        </w:rPr>
        <w:t xml:space="preserve"> (далее - учреждения).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tabs>
          <w:tab w:val="left" w:pos="1824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2.</w:t>
      </w:r>
      <w:r>
        <w:rPr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По государственным услугам (работам), выполняемым учреждениями, значение допустимых (возможных) отклонений от значений показателей качества и (или) </w:t>
      </w:r>
      <w:r>
        <w:rPr>
          <w:b w:val="0"/>
          <w:bCs w:val="0"/>
          <w:sz w:val="28"/>
          <w:szCs w:val="28"/>
        </w:rPr>
        <w:t xml:space="preserve">объема государственной услуги (работы)</w:t>
      </w:r>
      <w:r>
        <w:rPr>
          <w:sz w:val="28"/>
          <w:szCs w:val="28"/>
          <w:highlight w:val="none"/>
        </w:rPr>
        <w:t xml:space="preserve">, установленных в государственном задании, определяется в размере 5 процентов.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tabs>
          <w:tab w:val="left" w:pos="1824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3.</w:t>
      </w:r>
      <w:r>
        <w:rPr>
          <w:sz w:val="28"/>
          <w:szCs w:val="28"/>
          <w:highlight w:val="none"/>
        </w:rPr>
        <w:t xml:space="preserve"> Значения допустимых (возможных) отклонений от значений показателей качества и (или) объема государственной услуги (работы), установленных в государственном задании учреждениям, применяются при </w:t>
      </w:r>
      <w:r>
        <w:rPr>
          <w:sz w:val="28"/>
          <w:szCs w:val="28"/>
          <w:highlight w:val="none"/>
        </w:rPr>
        <w:t xml:space="preserve">р</w:t>
      </w:r>
      <w:r>
        <w:rPr>
          <w:sz w:val="28"/>
          <w:szCs w:val="28"/>
          <w:highlight w:val="none"/>
        </w:rPr>
        <w:t xml:space="preserve">ассмотрении отделом обеспечения доходов департамента и</w:t>
      </w:r>
      <w:r>
        <w:rPr>
          <w:sz w:val="28"/>
          <w:szCs w:val="28"/>
          <w:highlight w:val="none"/>
        </w:rPr>
        <w:t xml:space="preserve">мущества и земельных отношений Новосибирской области отчетов учреждений о выполнении государственного задания для оценки достижения учреждениями плановых показателей качества и (или) объема государственной услуги (работы) за соответствующий финансовый год.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tabs>
          <w:tab w:val="left" w:pos="1824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4. В случае отклонения фактически достигнутых значений показателей </w:t>
      </w:r>
      <w:r>
        <w:rPr>
          <w:b w:val="0"/>
          <w:bCs w:val="0"/>
          <w:sz w:val="28"/>
          <w:szCs w:val="28"/>
        </w:rPr>
        <w:t xml:space="preserve">качества и (или) объема государственной услуги (работы)</w:t>
      </w:r>
      <w:r>
        <w:rPr>
          <w:sz w:val="28"/>
          <w:szCs w:val="28"/>
        </w:rPr>
        <w:t xml:space="preserve"> от плановых значений показателей качества и </w:t>
      </w:r>
      <w:r>
        <w:rPr>
          <w:b w:val="0"/>
          <w:bCs w:val="0"/>
          <w:sz w:val="28"/>
          <w:szCs w:val="28"/>
        </w:rPr>
        <w:t xml:space="preserve">(или) объема государственной услуги (работы)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установленных </w:t>
      </w:r>
      <w:r>
        <w:rPr>
          <w:sz w:val="28"/>
          <w:szCs w:val="28"/>
        </w:rPr>
        <w:t xml:space="preserve">в государственном задании</w:t>
      </w:r>
      <w:r>
        <w:rPr>
          <w:sz w:val="28"/>
          <w:szCs w:val="28"/>
          <w:highlight w:val="none"/>
        </w:rPr>
        <w:t xml:space="preserve">, в пределах значений допустимых (возможных) отклонений, определенных в пункте 2 настоящего Порядка, г</w:t>
      </w:r>
      <w:r>
        <w:rPr>
          <w:sz w:val="28"/>
          <w:szCs w:val="28"/>
        </w:rPr>
        <w:t xml:space="preserve">осударственное задание</w:t>
      </w:r>
      <w:r>
        <w:rPr>
          <w:sz w:val="28"/>
          <w:szCs w:val="28"/>
          <w:highlight w:val="none"/>
        </w:rPr>
        <w:t xml:space="preserve"> считается выполненным.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417" w:header="0" w:footer="39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ind w:right="196"/>
      <w:jc w:val="right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rPr>
        <w:rStyle w:val="895"/>
      </w:rPr>
      <w:framePr w:wrap="around" w:vAnchor="text" w:hAnchor="margin" w:xAlign="right" w:y="1"/>
    </w:pPr>
    <w:r>
      <w:rPr>
        <w:rStyle w:val="895"/>
      </w:rPr>
      <w:fldChar w:fldCharType="begin"/>
    </w:r>
    <w:r>
      <w:rPr>
        <w:rStyle w:val="895"/>
      </w:rPr>
      <w:instrText xml:space="preserve">PAGE  </w:instrText>
    </w:r>
    <w:r>
      <w:rPr>
        <w:rStyle w:val="895"/>
      </w:rPr>
      <w:fldChar w:fldCharType="separate"/>
    </w:r>
    <w:r>
      <w:rPr>
        <w:rStyle w:val="895"/>
      </w:rPr>
      <w:t xml:space="preserve">2</w:t>
    </w:r>
    <w:r>
      <w:rPr>
        <w:rStyle w:val="895"/>
      </w:rPr>
      <w:fldChar w:fldCharType="end"/>
    </w:r>
    <w:r>
      <w:rPr>
        <w:rStyle w:val="895"/>
      </w:rPr>
    </w:r>
    <w:r>
      <w:rPr>
        <w:rStyle w:val="895"/>
      </w:rPr>
    </w:r>
  </w:p>
  <w:p>
    <w:pPr>
      <w:pStyle w:val="89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8"/>
    <w:next w:val="888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8"/>
    <w:next w:val="888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8"/>
    <w:next w:val="888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8"/>
    <w:next w:val="888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8"/>
    <w:next w:val="888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8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8"/>
    <w:next w:val="888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basedOn w:val="888"/>
    <w:next w:val="888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basedOn w:val="888"/>
    <w:next w:val="888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8"/>
    <w:next w:val="888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basedOn w:val="888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basedOn w:val="888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basedOn w:val="888"/>
    <w:next w:val="888"/>
    <w:link w:val="7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link w:val="742"/>
    <w:uiPriority w:val="35"/>
    <w:rPr>
      <w:b/>
      <w:bCs/>
      <w:color w:val="4f81bd" w:themeColor="accent1"/>
      <w:sz w:val="18"/>
      <w:szCs w:val="18"/>
    </w:rPr>
  </w:style>
  <w:style w:type="table" w:styleId="74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next w:val="888"/>
    <w:link w:val="888"/>
    <w:qFormat/>
    <w:rPr>
      <w:sz w:val="24"/>
      <w:szCs w:val="24"/>
      <w:lang w:val="ru-RU" w:eastAsia="ru-RU" w:bidi="ar-SA"/>
    </w:r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сноски"/>
    <w:basedOn w:val="888"/>
    <w:next w:val="892"/>
    <w:link w:val="888"/>
    <w:semiHidden/>
    <w:rPr>
      <w:sz w:val="20"/>
      <w:szCs w:val="20"/>
    </w:rPr>
  </w:style>
  <w:style w:type="character" w:styleId="893">
    <w:name w:val="Знак сноски"/>
    <w:next w:val="893"/>
    <w:link w:val="888"/>
    <w:semiHidden/>
    <w:rPr>
      <w:vertAlign w:val="superscript"/>
    </w:rPr>
  </w:style>
  <w:style w:type="paragraph" w:styleId="894">
    <w:name w:val="Нижний колонтитул"/>
    <w:basedOn w:val="888"/>
    <w:next w:val="894"/>
    <w:link w:val="888"/>
    <w:pPr>
      <w:tabs>
        <w:tab w:val="center" w:pos="4677" w:leader="none"/>
        <w:tab w:val="right" w:pos="9355" w:leader="none"/>
      </w:tabs>
    </w:pPr>
  </w:style>
  <w:style w:type="character" w:styleId="895">
    <w:name w:val="Номер страницы"/>
    <w:basedOn w:val="889"/>
    <w:next w:val="895"/>
    <w:link w:val="888"/>
  </w:style>
  <w:style w:type="paragraph" w:styleId="896">
    <w:name w:val="Верхний колонтитул"/>
    <w:basedOn w:val="888"/>
    <w:next w:val="896"/>
    <w:link w:val="888"/>
    <w:pPr>
      <w:tabs>
        <w:tab w:val="center" w:pos="4677" w:leader="none"/>
        <w:tab w:val="right" w:pos="9355" w:leader="none"/>
      </w:tabs>
    </w:pPr>
  </w:style>
  <w:style w:type="paragraph" w:styleId="897">
    <w:name w:val="Заголовок1"/>
    <w:basedOn w:val="888"/>
    <w:next w:val="888"/>
    <w:link w:val="888"/>
    <w:pPr>
      <w:spacing w:before="120" w:after="120"/>
    </w:pPr>
    <w:rPr>
      <w:rFonts w:cs="Verdana"/>
      <w:b/>
      <w:sz w:val="28"/>
      <w:szCs w:val="20"/>
      <w:lang w:val="en-US" w:eastAsia="en-US"/>
    </w:rPr>
  </w:style>
  <w:style w:type="paragraph" w:styleId="898">
    <w:name w:val="Текст выноски"/>
    <w:basedOn w:val="888"/>
    <w:next w:val="898"/>
    <w:link w:val="899"/>
    <w:rPr>
      <w:rFonts w:ascii="Tahoma" w:hAnsi="Tahoma"/>
      <w:sz w:val="16"/>
      <w:szCs w:val="16"/>
      <w:lang w:val="en-US" w:eastAsia="en-US"/>
    </w:rPr>
  </w:style>
  <w:style w:type="character" w:styleId="899">
    <w:name w:val="Текст выноски Знак"/>
    <w:next w:val="899"/>
    <w:link w:val="898"/>
    <w:rPr>
      <w:rFonts w:ascii="Tahoma" w:hAnsi="Tahoma" w:cs="Tahoma"/>
      <w:sz w:val="16"/>
      <w:szCs w:val="16"/>
    </w:rPr>
  </w:style>
  <w:style w:type="table" w:styleId="900">
    <w:name w:val="Сетка таблицы"/>
    <w:basedOn w:val="890"/>
    <w:next w:val="900"/>
    <w:link w:val="888"/>
    <w:uiPriority w:val="99"/>
    <w:rPr>
      <w:rFonts w:ascii="Calibri" w:hAnsi="Calibri" w:cs="Calibri"/>
    </w:rPr>
    <w:tblPr/>
  </w:style>
  <w:style w:type="character" w:styleId="901" w:default="1">
    <w:name w:val="Default Paragraph Font"/>
    <w:uiPriority w:val="1"/>
    <w:semiHidden/>
    <w:unhideWhenUsed/>
  </w:style>
  <w:style w:type="numbering" w:styleId="902" w:default="1">
    <w:name w:val="No List"/>
    <w:uiPriority w:val="99"/>
    <w:semiHidden/>
    <w:unhideWhenUsed/>
  </w:style>
  <w:style w:type="table" w:styleId="903" w:default="1">
    <w:name w:val="Normal Table"/>
    <w:uiPriority w:val="99"/>
    <w:semiHidden/>
    <w:unhideWhenUsed/>
    <w:tblPr/>
  </w:style>
  <w:style w:type="paragraph" w:styleId="904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505.ru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государственному заданию</dc:title>
  <dc:creator>maria</dc:creator>
  <cp:revision>39</cp:revision>
  <dcterms:created xsi:type="dcterms:W3CDTF">2018-02-09T06:28:00Z</dcterms:created>
  <dcterms:modified xsi:type="dcterms:W3CDTF">2025-10-29T04:36:53Z</dcterms:modified>
  <cp:version>917504</cp:version>
</cp:coreProperties>
</file>